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83" w:rsidRPr="003E0383" w:rsidRDefault="00EE7643">
      <w:pPr>
        <w:rPr>
          <w:b/>
        </w:rPr>
      </w:pPr>
      <w:r>
        <w:rPr>
          <w:b/>
        </w:rPr>
        <w:t>Danielson: Moving to Distinguished</w:t>
      </w:r>
    </w:p>
    <w:p w:rsidR="00317B71" w:rsidRDefault="003E0383">
      <w:pPr>
        <w:rPr>
          <w:b/>
        </w:rPr>
      </w:pPr>
      <w:r w:rsidRPr="003E0383">
        <w:rPr>
          <w:b/>
        </w:rPr>
        <w:t>Methods for Increasing Role of Students in the Classroom</w:t>
      </w:r>
    </w:p>
    <w:p w:rsidR="00317B71" w:rsidRDefault="00A53CD3" w:rsidP="00317B71">
      <w:r>
        <w:t>Mary Larson</w:t>
      </w:r>
      <w:r w:rsidR="00AD46CA">
        <w:t xml:space="preserve"> and Rita Sayre</w:t>
      </w:r>
    </w:p>
    <w:p w:rsidR="00317B71" w:rsidRDefault="00317B71" w:rsidP="00317B71">
      <w:r>
        <w:t>EGHS</w:t>
      </w:r>
    </w:p>
    <w:p w:rsidR="00317B71" w:rsidRDefault="00EE7643" w:rsidP="00317B71">
      <w:r>
        <w:t>2013-2014</w:t>
      </w:r>
    </w:p>
    <w:p w:rsidR="003E0383" w:rsidRPr="003E0383" w:rsidRDefault="003E0383">
      <w:pPr>
        <w:rPr>
          <w:b/>
        </w:rPr>
      </w:pPr>
    </w:p>
    <w:tbl>
      <w:tblPr>
        <w:tblpPr w:leftFromText="180" w:rightFromText="180" w:vertAnchor="text" w:horzAnchor="page" w:tblpX="730" w:tblpY="163"/>
        <w:tblW w:w="144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/>
      </w:tblPr>
      <w:tblGrid>
        <w:gridCol w:w="2178"/>
        <w:gridCol w:w="2880"/>
        <w:gridCol w:w="4050"/>
        <w:gridCol w:w="5310"/>
      </w:tblGrid>
      <w:tr w:rsidR="0054321C" w:rsidRPr="00317B71">
        <w:trPr>
          <w:trHeight w:val="370"/>
        </w:trPr>
        <w:tc>
          <w:tcPr>
            <w:tcW w:w="2178" w:type="dxa"/>
            <w:shd w:val="solid" w:color="000080" w:fill="FFFFFF"/>
          </w:tcPr>
          <w:p w:rsidR="0054321C" w:rsidRPr="00317B71" w:rsidRDefault="0054321C" w:rsidP="0054321C">
            <w:pPr>
              <w:rPr>
                <w:b/>
                <w:color w:val="FFFFFF"/>
              </w:rPr>
            </w:pPr>
            <w:r w:rsidRPr="00317B71">
              <w:rPr>
                <w:b/>
                <w:color w:val="FFFFFF"/>
              </w:rPr>
              <w:t>Danielson Component</w:t>
            </w:r>
          </w:p>
        </w:tc>
        <w:tc>
          <w:tcPr>
            <w:tcW w:w="2880" w:type="dxa"/>
            <w:shd w:val="solid" w:color="000080" w:fill="FFFFFF"/>
          </w:tcPr>
          <w:p w:rsidR="0054321C" w:rsidRPr="00317B71" w:rsidRDefault="0054321C" w:rsidP="0054321C">
            <w:pPr>
              <w:rPr>
                <w:b/>
                <w:color w:val="FFFFFF"/>
              </w:rPr>
            </w:pPr>
            <w:r w:rsidRPr="00317B71">
              <w:rPr>
                <w:b/>
                <w:color w:val="FFFFFF"/>
              </w:rPr>
              <w:t>Rubric</w:t>
            </w:r>
            <w:r w:rsidR="00F36294">
              <w:rPr>
                <w:b/>
                <w:color w:val="FFFFFF"/>
              </w:rPr>
              <w:t xml:space="preserve"> </w:t>
            </w:r>
            <w:r w:rsidR="00F36294" w:rsidRPr="00F36294">
              <w:rPr>
                <w:b/>
                <w:color w:val="FFFFFF"/>
                <w:sz w:val="20"/>
              </w:rPr>
              <w:t>(From “Distinguished”)</w:t>
            </w:r>
          </w:p>
        </w:tc>
        <w:tc>
          <w:tcPr>
            <w:tcW w:w="4050" w:type="dxa"/>
            <w:shd w:val="solid" w:color="000080" w:fill="FFFFFF"/>
          </w:tcPr>
          <w:p w:rsidR="0054321C" w:rsidRPr="00317B71" w:rsidRDefault="0054321C" w:rsidP="0054321C">
            <w:pPr>
              <w:rPr>
                <w:b/>
                <w:color w:val="FFFFFF"/>
              </w:rPr>
            </w:pPr>
            <w:r w:rsidRPr="00317B71">
              <w:rPr>
                <w:b/>
                <w:color w:val="FFFFFF"/>
              </w:rPr>
              <w:t>Explanation</w:t>
            </w:r>
            <w:r w:rsidR="00AD46CA">
              <w:rPr>
                <w:b/>
                <w:color w:val="FFFFFF"/>
              </w:rPr>
              <w:t>/Indicators</w:t>
            </w:r>
            <w:r w:rsidR="003033C1">
              <w:rPr>
                <w:b/>
                <w:color w:val="FFFFFF"/>
              </w:rPr>
              <w:t xml:space="preserve"> </w:t>
            </w:r>
            <w:r w:rsidR="003033C1" w:rsidRPr="003033C1">
              <w:rPr>
                <w:b/>
                <w:color w:val="FFFFFF"/>
                <w:sz w:val="20"/>
              </w:rPr>
              <w:t xml:space="preserve">(From </w:t>
            </w:r>
            <w:r w:rsidR="003033C1" w:rsidRPr="003033C1">
              <w:rPr>
                <w:b/>
                <w:i/>
                <w:color w:val="FFFFFF"/>
                <w:sz w:val="20"/>
              </w:rPr>
              <w:t>Complete Framework for Teaching Instrument</w:t>
            </w:r>
            <w:r w:rsidR="003033C1" w:rsidRPr="003033C1"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5310" w:type="dxa"/>
            <w:shd w:val="solid" w:color="000080" w:fill="FFFFFF"/>
          </w:tcPr>
          <w:p w:rsidR="0054321C" w:rsidRPr="00317B71" w:rsidRDefault="0054321C" w:rsidP="0054321C">
            <w:pPr>
              <w:rPr>
                <w:b/>
                <w:color w:val="FFFFFF"/>
              </w:rPr>
            </w:pPr>
            <w:r w:rsidRPr="00317B71">
              <w:rPr>
                <w:b/>
                <w:color w:val="FFFFFF"/>
              </w:rPr>
              <w:t>Examples and Ideas</w:t>
            </w:r>
          </w:p>
        </w:tc>
      </w:tr>
      <w:tr w:rsidR="0054321C" w:rsidRPr="00317B71">
        <w:trPr>
          <w:trHeight w:val="1078"/>
        </w:trPr>
        <w:tc>
          <w:tcPr>
            <w:tcW w:w="2178" w:type="dxa"/>
            <w:shd w:val="clear" w:color="auto" w:fill="auto"/>
          </w:tcPr>
          <w:p w:rsidR="0054321C" w:rsidRPr="00317B71" w:rsidRDefault="0054321C" w:rsidP="0054321C">
            <w:pPr>
              <w:rPr>
                <w:b/>
                <w:i/>
              </w:rPr>
            </w:pPr>
            <w:r w:rsidRPr="00317B71">
              <w:rPr>
                <w:b/>
                <w:i/>
              </w:rPr>
              <w:t>1e. Designing Coherent Instruction</w:t>
            </w:r>
          </w:p>
        </w:tc>
        <w:tc>
          <w:tcPr>
            <w:tcW w:w="2880" w:type="dxa"/>
            <w:shd w:val="clear" w:color="auto" w:fill="auto"/>
          </w:tcPr>
          <w:p w:rsidR="0054321C" w:rsidRPr="00317B71" w:rsidRDefault="0054321C" w:rsidP="0054321C">
            <w:pPr>
              <w:rPr>
                <w:sz w:val="20"/>
              </w:rPr>
            </w:pPr>
            <w:r w:rsidRPr="00317B71">
              <w:rPr>
                <w:sz w:val="20"/>
              </w:rPr>
              <w:t xml:space="preserve">All of the elements of the instructional design support the stated instructional goals, engage students in meaningful learning, and </w:t>
            </w:r>
            <w:r w:rsidRPr="00AD46CA">
              <w:rPr>
                <w:b/>
                <w:sz w:val="20"/>
              </w:rPr>
              <w:t>show evidence of student input.</w:t>
            </w:r>
            <w:r w:rsidRPr="00317B71">
              <w:rPr>
                <w:sz w:val="20"/>
              </w:rPr>
              <w:t xml:space="preserve">  Teacher’s lesson or unit is highly coherent and has a clear structure.</w:t>
            </w:r>
          </w:p>
        </w:tc>
        <w:tc>
          <w:tcPr>
            <w:tcW w:w="4050" w:type="dxa"/>
            <w:shd w:val="clear" w:color="auto" w:fill="auto"/>
          </w:tcPr>
          <w:p w:rsidR="00AD46CA" w:rsidRPr="00C84960" w:rsidRDefault="00AD46CA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Some opportunity for student choice of groups.</w:t>
            </w:r>
          </w:p>
          <w:p w:rsidR="00AD46CA" w:rsidRPr="00C84960" w:rsidRDefault="00AD46CA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Activities permit student choice.</w:t>
            </w:r>
          </w:p>
          <w:p w:rsidR="0054321C" w:rsidRPr="00C84960" w:rsidRDefault="00AD46CA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Lessons and activities are differentiated.</w:t>
            </w:r>
          </w:p>
        </w:tc>
        <w:tc>
          <w:tcPr>
            <w:tcW w:w="5310" w:type="dxa"/>
            <w:shd w:val="clear" w:color="auto" w:fill="auto"/>
          </w:tcPr>
          <w:p w:rsidR="00425623" w:rsidRPr="00C84960" w:rsidRDefault="00425623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 xml:space="preserve">“Do any twenty sentences in exercises 1, 2, or 3 and be prepared to present to the class.” </w:t>
            </w:r>
          </w:p>
          <w:p w:rsidR="00425623" w:rsidRPr="00C84960" w:rsidRDefault="00425623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 xml:space="preserve"> “You Pick Two – write a paragraph explaining how to find the hypotenuse, write your own practice exercise on right triangles with three questions and answers, or design a single example that you can present to the class that includes _____”</w:t>
            </w:r>
          </w:p>
          <w:p w:rsidR="003033C1" w:rsidRPr="00C84960" w:rsidRDefault="00425623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“</w:t>
            </w:r>
            <w:r w:rsidR="008E622B" w:rsidRPr="00C84960">
              <w:rPr>
                <w:sz w:val="20"/>
              </w:rPr>
              <w:t>Reflect on your participation in your group.  Redesign the groups for the next activity.”</w:t>
            </w:r>
          </w:p>
          <w:p w:rsidR="0054321C" w:rsidRPr="00C84960" w:rsidRDefault="0054321C" w:rsidP="00425623">
            <w:pPr>
              <w:rPr>
                <w:sz w:val="20"/>
              </w:rPr>
            </w:pPr>
          </w:p>
        </w:tc>
      </w:tr>
      <w:tr w:rsidR="0054321C" w:rsidRPr="00317B71">
        <w:trPr>
          <w:trHeight w:val="190"/>
        </w:trPr>
        <w:tc>
          <w:tcPr>
            <w:tcW w:w="2178" w:type="dxa"/>
            <w:shd w:val="clear" w:color="auto" w:fill="auto"/>
          </w:tcPr>
          <w:p w:rsidR="0054321C" w:rsidRPr="00317B71" w:rsidRDefault="0054321C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54321C" w:rsidRPr="00317B71" w:rsidRDefault="0054321C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54321C" w:rsidRPr="00C84960" w:rsidRDefault="0054321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54321C" w:rsidRPr="00C84960" w:rsidRDefault="0054321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54321C" w:rsidRPr="00317B71">
        <w:trPr>
          <w:trHeight w:val="1543"/>
        </w:trPr>
        <w:tc>
          <w:tcPr>
            <w:tcW w:w="2178" w:type="dxa"/>
            <w:shd w:val="clear" w:color="auto" w:fill="auto"/>
          </w:tcPr>
          <w:p w:rsidR="0054321C" w:rsidRPr="00317B71" w:rsidRDefault="0054321C" w:rsidP="0054321C">
            <w:pPr>
              <w:rPr>
                <w:b/>
                <w:i/>
              </w:rPr>
            </w:pPr>
            <w:r w:rsidRPr="00317B71">
              <w:rPr>
                <w:b/>
                <w:i/>
              </w:rPr>
              <w:t>1f.  Assessing Student Learning</w:t>
            </w:r>
          </w:p>
        </w:tc>
        <w:tc>
          <w:tcPr>
            <w:tcW w:w="2880" w:type="dxa"/>
            <w:shd w:val="clear" w:color="auto" w:fill="auto"/>
          </w:tcPr>
          <w:p w:rsidR="0054321C" w:rsidRPr="00317B71" w:rsidRDefault="0054321C" w:rsidP="0054321C">
            <w:pPr>
              <w:rPr>
                <w:sz w:val="20"/>
              </w:rPr>
            </w:pPr>
            <w:r w:rsidRPr="00317B71">
              <w:rPr>
                <w:sz w:val="20"/>
              </w:rPr>
              <w:t xml:space="preserve">Teacher’s plan for student assessment is fully aligned with the instructional goals, containing clear criteria and standards that are not only understood by students but also </w:t>
            </w:r>
            <w:r w:rsidRPr="00AD46CA">
              <w:rPr>
                <w:b/>
                <w:sz w:val="20"/>
              </w:rPr>
              <w:t>show evidence of student participation in their development</w:t>
            </w:r>
            <w:r w:rsidRPr="00317B71">
              <w:rPr>
                <w:sz w:val="20"/>
              </w:rPr>
              <w:t xml:space="preserve">.  Teacher’s </w:t>
            </w:r>
            <w:r w:rsidRPr="00AD46CA">
              <w:rPr>
                <w:b/>
                <w:sz w:val="20"/>
              </w:rPr>
              <w:t>students monitor their own progress</w:t>
            </w:r>
            <w:r w:rsidRPr="00317B71">
              <w:rPr>
                <w:sz w:val="20"/>
              </w:rPr>
              <w:t xml:space="preserve"> in achieving the goals.</w:t>
            </w:r>
          </w:p>
        </w:tc>
        <w:tc>
          <w:tcPr>
            <w:tcW w:w="4050" w:type="dxa"/>
            <w:shd w:val="clear" w:color="auto" w:fill="auto"/>
          </w:tcPr>
          <w:p w:rsidR="0054321C" w:rsidRPr="00C84960" w:rsidRDefault="008E622B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Rubrics and formative assessments are not just used by teachers.  Rather, students become involved in creating them (in part) and therefore, take more ownership of the product.</w:t>
            </w:r>
          </w:p>
        </w:tc>
        <w:tc>
          <w:tcPr>
            <w:tcW w:w="5310" w:type="dxa"/>
            <w:shd w:val="clear" w:color="auto" w:fill="auto"/>
          </w:tcPr>
          <w:p w:rsidR="008E622B" w:rsidRPr="00C84960" w:rsidRDefault="008E622B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Give students a blank rubric and several examples of student work that fits below average, average, good, and exceptional categories.  Have students articulate the finer differences between them and then come to a consensus as a group on certain aspects of the rubric.</w:t>
            </w:r>
          </w:p>
          <w:p w:rsidR="008E622B" w:rsidRPr="00C84960" w:rsidRDefault="008E622B" w:rsidP="008E622B">
            <w:pPr>
              <w:rPr>
                <w:sz w:val="20"/>
              </w:rPr>
            </w:pPr>
          </w:p>
          <w:p w:rsidR="004B4A7B" w:rsidRPr="00C84960" w:rsidRDefault="008E622B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Allow students to design a portion of a rubric</w:t>
            </w:r>
            <w:r w:rsidR="004B4A7B" w:rsidRPr="00C84960">
              <w:rPr>
                <w:sz w:val="20"/>
              </w:rPr>
              <w:t>, while you keep the rest as a common assessment for the PLT.</w:t>
            </w:r>
          </w:p>
          <w:p w:rsidR="004B4A7B" w:rsidRPr="00C84960" w:rsidRDefault="004B4A7B" w:rsidP="004B4A7B">
            <w:pPr>
              <w:rPr>
                <w:sz w:val="20"/>
              </w:rPr>
            </w:pPr>
          </w:p>
          <w:p w:rsidR="0086236C" w:rsidRPr="00C84960" w:rsidRDefault="004B4A7B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keep track of EPAS scores, benchmarks, and formative assessments, and reflect on what these mean for the student’s progress.</w:t>
            </w:r>
          </w:p>
          <w:p w:rsidR="0086236C" w:rsidRPr="00C84960" w:rsidRDefault="0086236C" w:rsidP="0086236C">
            <w:pPr>
              <w:rPr>
                <w:sz w:val="20"/>
              </w:rPr>
            </w:pPr>
          </w:p>
          <w:p w:rsidR="0054321C" w:rsidRPr="00C84960" w:rsidRDefault="0086236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use formative assessment results to seek out extra help, if needed.</w:t>
            </w:r>
          </w:p>
        </w:tc>
      </w:tr>
      <w:tr w:rsidR="0054321C" w:rsidRPr="00317B71">
        <w:trPr>
          <w:trHeight w:val="190"/>
        </w:trPr>
        <w:tc>
          <w:tcPr>
            <w:tcW w:w="2178" w:type="dxa"/>
            <w:shd w:val="clear" w:color="auto" w:fill="auto"/>
          </w:tcPr>
          <w:p w:rsidR="0054321C" w:rsidRPr="00317B71" w:rsidRDefault="0054321C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54321C" w:rsidRPr="00317B71" w:rsidRDefault="0054321C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54321C" w:rsidRPr="00C84960" w:rsidRDefault="0054321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54321C" w:rsidRPr="00C84960" w:rsidRDefault="0054321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54321C" w:rsidRPr="00317B71">
        <w:trPr>
          <w:trHeight w:val="1078"/>
        </w:trPr>
        <w:tc>
          <w:tcPr>
            <w:tcW w:w="2178" w:type="dxa"/>
            <w:shd w:val="clear" w:color="auto" w:fill="auto"/>
          </w:tcPr>
          <w:p w:rsidR="0054321C" w:rsidRPr="00317B71" w:rsidRDefault="0054321C" w:rsidP="0054321C">
            <w:pPr>
              <w:rPr>
                <w:b/>
                <w:i/>
              </w:rPr>
            </w:pPr>
            <w:r w:rsidRPr="00317B71">
              <w:rPr>
                <w:b/>
                <w:i/>
              </w:rPr>
              <w:t>2a.  Creating an Environment of Respect and Rapport</w:t>
            </w:r>
          </w:p>
        </w:tc>
        <w:tc>
          <w:tcPr>
            <w:tcW w:w="2880" w:type="dxa"/>
            <w:shd w:val="clear" w:color="auto" w:fill="auto"/>
          </w:tcPr>
          <w:p w:rsidR="0054321C" w:rsidRPr="00317B71" w:rsidRDefault="0054321C" w:rsidP="0054321C">
            <w:pPr>
              <w:rPr>
                <w:sz w:val="20"/>
              </w:rPr>
            </w:pPr>
            <w:r w:rsidRPr="00317B71">
              <w:rPr>
                <w:sz w:val="20"/>
              </w:rPr>
              <w:t xml:space="preserve">Classroom interactions are highly respectful, reflecting genuine warmth and caring toward individuals.  </w:t>
            </w:r>
            <w:r w:rsidRPr="00AD46CA">
              <w:rPr>
                <w:b/>
                <w:sz w:val="20"/>
              </w:rPr>
              <w:t>Students themselves ensure maintenance of high levels of civility among members of the class.</w:t>
            </w:r>
          </w:p>
        </w:tc>
        <w:tc>
          <w:tcPr>
            <w:tcW w:w="4050" w:type="dxa"/>
            <w:shd w:val="clear" w:color="auto" w:fill="auto"/>
          </w:tcPr>
          <w:p w:rsidR="000E3DC9" w:rsidRPr="00C84960" w:rsidRDefault="006F0E7F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show respect for each other and the teacher, and can discipline each other when necessary</w:t>
            </w:r>
            <w:r w:rsidR="000E3DC9" w:rsidRPr="00C84960">
              <w:rPr>
                <w:sz w:val="20"/>
              </w:rPr>
              <w:t>.</w:t>
            </w:r>
          </w:p>
          <w:p w:rsidR="000E3DC9" w:rsidRPr="00C84960" w:rsidRDefault="000E3DC9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support one another with applause and verbal affirmations.</w:t>
            </w:r>
          </w:p>
          <w:p w:rsidR="0054321C" w:rsidRPr="00C84960" w:rsidRDefault="000E3DC9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give their full attention to a classmate who is speaking.</w:t>
            </w:r>
          </w:p>
        </w:tc>
        <w:tc>
          <w:tcPr>
            <w:tcW w:w="5310" w:type="dxa"/>
            <w:shd w:val="clear" w:color="auto" w:fill="auto"/>
          </w:tcPr>
          <w:p w:rsidR="000E3DC9" w:rsidRPr="00C84960" w:rsidRDefault="000E3DC9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learn to track the speaker, and give and expect that as a sign of respect.</w:t>
            </w:r>
          </w:p>
          <w:p w:rsidR="000E3DC9" w:rsidRPr="00C84960" w:rsidRDefault="000E3DC9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 volunteers to be the “sleep police,” waking up students who have nodded off.</w:t>
            </w:r>
          </w:p>
          <w:p w:rsidR="0054321C" w:rsidRPr="00C84960" w:rsidRDefault="000E3DC9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suggest that people coming in and out of class do so quietly so there is no disruption.</w:t>
            </w:r>
          </w:p>
        </w:tc>
      </w:tr>
      <w:tr w:rsidR="0054321C" w:rsidRPr="00317B71">
        <w:trPr>
          <w:trHeight w:val="190"/>
        </w:trPr>
        <w:tc>
          <w:tcPr>
            <w:tcW w:w="2178" w:type="dxa"/>
            <w:shd w:val="clear" w:color="auto" w:fill="auto"/>
          </w:tcPr>
          <w:p w:rsidR="0054321C" w:rsidRPr="00317B71" w:rsidRDefault="0054321C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54321C" w:rsidRPr="00317B71" w:rsidRDefault="0054321C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54321C" w:rsidRPr="00C84960" w:rsidRDefault="0054321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54321C" w:rsidRPr="00C84960" w:rsidRDefault="0054321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54321C" w:rsidRPr="00317B71">
        <w:trPr>
          <w:trHeight w:val="1395"/>
        </w:trPr>
        <w:tc>
          <w:tcPr>
            <w:tcW w:w="2178" w:type="dxa"/>
            <w:shd w:val="clear" w:color="auto" w:fill="auto"/>
          </w:tcPr>
          <w:p w:rsidR="0054321C" w:rsidRPr="00317B71" w:rsidRDefault="0054321C" w:rsidP="0054321C">
            <w:pPr>
              <w:rPr>
                <w:b/>
                <w:i/>
              </w:rPr>
            </w:pPr>
            <w:r w:rsidRPr="00317B71">
              <w:rPr>
                <w:b/>
                <w:i/>
              </w:rPr>
              <w:t>2b.  Establishing a Culture for Learning</w:t>
            </w:r>
          </w:p>
        </w:tc>
        <w:tc>
          <w:tcPr>
            <w:tcW w:w="2880" w:type="dxa"/>
            <w:shd w:val="clear" w:color="auto" w:fill="auto"/>
          </w:tcPr>
          <w:p w:rsidR="0054321C" w:rsidRPr="00317B71" w:rsidRDefault="0054321C" w:rsidP="0054321C">
            <w:pPr>
              <w:rPr>
                <w:sz w:val="20"/>
              </w:rPr>
            </w:pPr>
            <w:r w:rsidRPr="00AD46CA">
              <w:rPr>
                <w:b/>
                <w:sz w:val="20"/>
              </w:rPr>
              <w:t>Students assume much of the responsibility for establishing a culture for learning in the classroom by taking pride in their work, initiating improvements to their products, and holding the work to the highest standard.</w:t>
            </w:r>
            <w:r w:rsidRPr="00317B71">
              <w:rPr>
                <w:sz w:val="20"/>
              </w:rPr>
              <w:t xml:space="preserve">  Teacher demonstrates a passionate commitment to the subject.</w:t>
            </w:r>
          </w:p>
        </w:tc>
        <w:tc>
          <w:tcPr>
            <w:tcW w:w="4050" w:type="dxa"/>
            <w:shd w:val="clear" w:color="auto" w:fill="auto"/>
          </w:tcPr>
          <w:p w:rsidR="008778D6" w:rsidRPr="00C84960" w:rsidRDefault="008778D6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are not satisfied until they have complete understanding.</w:t>
            </w:r>
          </w:p>
          <w:p w:rsidR="008778D6" w:rsidRPr="00C84960" w:rsidRDefault="008778D6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are more focused on genuine understanding, rather than mere completion of a task.</w:t>
            </w:r>
          </w:p>
          <w:p w:rsidR="008778D6" w:rsidRPr="00C84960" w:rsidRDefault="008778D6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applaud classmates’ efforts.</w:t>
            </w:r>
          </w:p>
          <w:p w:rsidR="0054321C" w:rsidRPr="00C84960" w:rsidRDefault="008778D6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take initiative to improve their work.</w:t>
            </w:r>
          </w:p>
        </w:tc>
        <w:tc>
          <w:tcPr>
            <w:tcW w:w="5310" w:type="dxa"/>
            <w:shd w:val="clear" w:color="auto" w:fill="auto"/>
          </w:tcPr>
          <w:p w:rsidR="008778D6" w:rsidRPr="00C84960" w:rsidRDefault="008778D6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“That was good.  Can you do this better/faster?”</w:t>
            </w:r>
          </w:p>
          <w:p w:rsidR="008778D6" w:rsidRPr="00C84960" w:rsidRDefault="008778D6" w:rsidP="008778D6">
            <w:pPr>
              <w:rPr>
                <w:sz w:val="20"/>
              </w:rPr>
            </w:pPr>
          </w:p>
          <w:p w:rsidR="008778D6" w:rsidRPr="00C84960" w:rsidRDefault="008778D6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 xml:space="preserve">Return work ungraded to a student saying, </w:t>
            </w:r>
            <w:r w:rsidR="00462800" w:rsidRPr="00C84960">
              <w:rPr>
                <w:sz w:val="20"/>
              </w:rPr>
              <w:t>“</w:t>
            </w:r>
            <w:r w:rsidRPr="00C84960">
              <w:rPr>
                <w:sz w:val="20"/>
              </w:rPr>
              <w:t>Give me your best work.”</w:t>
            </w:r>
          </w:p>
          <w:p w:rsidR="008778D6" w:rsidRPr="00C84960" w:rsidRDefault="008778D6" w:rsidP="008778D6">
            <w:pPr>
              <w:rPr>
                <w:sz w:val="20"/>
              </w:rPr>
            </w:pPr>
          </w:p>
          <w:p w:rsidR="008778D6" w:rsidRPr="00C84960" w:rsidRDefault="008778D6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Teach the class to reward a great student comment or contribution with a brief gesture (i.e., two stomps).</w:t>
            </w:r>
          </w:p>
          <w:p w:rsidR="008778D6" w:rsidRPr="00C84960" w:rsidRDefault="008778D6" w:rsidP="008778D6">
            <w:pPr>
              <w:rPr>
                <w:sz w:val="20"/>
              </w:rPr>
            </w:pPr>
          </w:p>
          <w:p w:rsidR="00462800" w:rsidRPr="00C84960" w:rsidRDefault="00462800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Create a funny phrase t</w:t>
            </w:r>
            <w:r w:rsidR="00562866" w:rsidRPr="00C84960">
              <w:rPr>
                <w:sz w:val="20"/>
              </w:rPr>
              <w:t>hat is nonthreatening such as “S</w:t>
            </w:r>
            <w:r w:rsidRPr="00C84960">
              <w:rPr>
                <w:sz w:val="20"/>
              </w:rPr>
              <w:t>end it back to the kitchen” that students can use when evaluating each other’s work.</w:t>
            </w:r>
          </w:p>
          <w:p w:rsidR="00462800" w:rsidRPr="00C84960" w:rsidRDefault="00462800" w:rsidP="00462800">
            <w:pPr>
              <w:rPr>
                <w:sz w:val="20"/>
              </w:rPr>
            </w:pPr>
          </w:p>
          <w:p w:rsidR="0054321C" w:rsidRPr="00C84960" w:rsidRDefault="00462800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Have students nominate work for “best of class” award</w:t>
            </w:r>
          </w:p>
        </w:tc>
      </w:tr>
      <w:tr w:rsidR="00317B71" w:rsidRPr="00317B71">
        <w:trPr>
          <w:trHeight w:val="372"/>
        </w:trPr>
        <w:tc>
          <w:tcPr>
            <w:tcW w:w="2178" w:type="dxa"/>
            <w:shd w:val="clear" w:color="auto" w:fill="auto"/>
          </w:tcPr>
          <w:p w:rsidR="00317B71" w:rsidRPr="00317B71" w:rsidRDefault="00317B71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317B71" w:rsidRPr="00317B71" w:rsidRDefault="00317B71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17B71" w:rsidRPr="00C84960" w:rsidRDefault="00317B71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317B71" w:rsidRPr="00C84960" w:rsidRDefault="00317B71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317B71" w:rsidRPr="00317B71">
        <w:trPr>
          <w:trHeight w:val="372"/>
        </w:trPr>
        <w:tc>
          <w:tcPr>
            <w:tcW w:w="2178" w:type="dxa"/>
            <w:shd w:val="clear" w:color="auto" w:fill="auto"/>
          </w:tcPr>
          <w:p w:rsidR="00317B71" w:rsidRPr="00317B71" w:rsidRDefault="00317B71" w:rsidP="00317B71">
            <w:pPr>
              <w:rPr>
                <w:b/>
                <w:i/>
              </w:rPr>
            </w:pPr>
            <w:r w:rsidRPr="00317B71">
              <w:rPr>
                <w:b/>
                <w:i/>
              </w:rPr>
              <w:t>2c.  Managing Classroom Procedures</w:t>
            </w:r>
          </w:p>
          <w:p w:rsidR="00317B71" w:rsidRPr="00317B71" w:rsidRDefault="00317B71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317B71" w:rsidRPr="00AD46CA" w:rsidRDefault="00317B71" w:rsidP="00317B71">
            <w:pPr>
              <w:rPr>
                <w:b/>
                <w:sz w:val="20"/>
              </w:rPr>
            </w:pPr>
            <w:r w:rsidRPr="00317B71">
              <w:rPr>
                <w:sz w:val="20"/>
              </w:rPr>
              <w:t xml:space="preserve">Classroom routines and procedures are seamless in their operation, and </w:t>
            </w:r>
            <w:r w:rsidRPr="00AD46CA">
              <w:rPr>
                <w:b/>
                <w:sz w:val="20"/>
              </w:rPr>
              <w:t>students assume considerable responsibility for their smooth functioning.</w:t>
            </w:r>
          </w:p>
          <w:p w:rsidR="00317B71" w:rsidRPr="00317B71" w:rsidRDefault="00317B71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17B71" w:rsidRPr="00C84960" w:rsidRDefault="00317B71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317B71" w:rsidRPr="00C84960" w:rsidRDefault="00317B71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317B71" w:rsidRPr="00317B71">
        <w:trPr>
          <w:trHeight w:val="318"/>
        </w:trPr>
        <w:tc>
          <w:tcPr>
            <w:tcW w:w="2178" w:type="dxa"/>
            <w:shd w:val="clear" w:color="auto" w:fill="auto"/>
          </w:tcPr>
          <w:p w:rsidR="00317B71" w:rsidRPr="00317B71" w:rsidRDefault="00317B71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317B71" w:rsidRPr="00317B71" w:rsidRDefault="00317B71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17B71" w:rsidRPr="00C84960" w:rsidRDefault="00317B71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317B71" w:rsidRPr="00C84960" w:rsidRDefault="00317B71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54321C" w:rsidRPr="00317B71">
        <w:trPr>
          <w:trHeight w:val="2039"/>
        </w:trPr>
        <w:tc>
          <w:tcPr>
            <w:tcW w:w="2178" w:type="dxa"/>
            <w:shd w:val="clear" w:color="auto" w:fill="auto"/>
          </w:tcPr>
          <w:p w:rsidR="0054321C" w:rsidRPr="00317B71" w:rsidRDefault="0054321C" w:rsidP="0054321C">
            <w:pPr>
              <w:rPr>
                <w:b/>
                <w:i/>
              </w:rPr>
            </w:pPr>
            <w:r w:rsidRPr="00317B71">
              <w:rPr>
                <w:b/>
                <w:i/>
              </w:rPr>
              <w:t>2d.  Managing Student Behavior</w:t>
            </w:r>
          </w:p>
          <w:p w:rsidR="0054321C" w:rsidRPr="00317B71" w:rsidRDefault="0054321C" w:rsidP="0054321C">
            <w:pPr>
              <w:rPr>
                <w:b/>
                <w:i/>
              </w:rPr>
            </w:pPr>
          </w:p>
          <w:p w:rsidR="0054321C" w:rsidRPr="00317B71" w:rsidRDefault="0054321C" w:rsidP="0054321C">
            <w:pPr>
              <w:rPr>
                <w:b/>
                <w:i/>
              </w:rPr>
            </w:pPr>
          </w:p>
          <w:p w:rsidR="0054321C" w:rsidRPr="00317B71" w:rsidRDefault="0054321C" w:rsidP="0054321C">
            <w:pPr>
              <w:rPr>
                <w:b/>
                <w:i/>
              </w:rPr>
            </w:pPr>
          </w:p>
          <w:p w:rsidR="0054321C" w:rsidRPr="00317B71" w:rsidRDefault="0054321C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54321C" w:rsidRPr="00317B71" w:rsidRDefault="0054321C" w:rsidP="0054321C">
            <w:pPr>
              <w:rPr>
                <w:sz w:val="20"/>
              </w:rPr>
            </w:pPr>
            <w:r w:rsidRPr="00317B71">
              <w:rPr>
                <w:sz w:val="20"/>
              </w:rPr>
              <w:t xml:space="preserve">Student behavior is entirely appropriate, with evidence of </w:t>
            </w:r>
            <w:r w:rsidRPr="00AD46CA">
              <w:rPr>
                <w:b/>
                <w:sz w:val="20"/>
              </w:rPr>
              <w:t>student participation in setting expectations and monitoring behavior</w:t>
            </w:r>
            <w:r w:rsidRPr="00317B71">
              <w:rPr>
                <w:sz w:val="20"/>
              </w:rPr>
              <w:t>.  Teacher’s monitoring of student behavior is subtle and preventive, and teacher’s response to student misbehavior is sensitive to individual student needs.</w:t>
            </w:r>
          </w:p>
        </w:tc>
        <w:tc>
          <w:tcPr>
            <w:tcW w:w="4050" w:type="dxa"/>
            <w:shd w:val="clear" w:color="auto" w:fill="auto"/>
          </w:tcPr>
          <w:p w:rsidR="0054321C" w:rsidRPr="00C84960" w:rsidRDefault="00DF543B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monitor their own behavior, and monitor classmates’ behavior.  Students know the rules and understand how they will be enforced.</w:t>
            </w:r>
          </w:p>
        </w:tc>
        <w:tc>
          <w:tcPr>
            <w:tcW w:w="5310" w:type="dxa"/>
            <w:shd w:val="clear" w:color="auto" w:fill="auto"/>
          </w:tcPr>
          <w:p w:rsidR="00FF6AAC" w:rsidRPr="00C84960" w:rsidRDefault="00FF6AA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 xml:space="preserve">Appoint students as bouncers to stand at the door and stop anyone from entering who has a phone or headphones visible.  </w:t>
            </w:r>
          </w:p>
          <w:p w:rsidR="00FF6AAC" w:rsidRPr="00C84960" w:rsidRDefault="00FF6AAC" w:rsidP="00F822DB">
            <w:pPr>
              <w:rPr>
                <w:sz w:val="20"/>
              </w:rPr>
            </w:pPr>
          </w:p>
          <w:p w:rsidR="00FF6AAC" w:rsidRPr="00C84960" w:rsidRDefault="00FF6AA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 xml:space="preserve">Get a volunteer to encourage students to be in </w:t>
            </w:r>
            <w:r w:rsidR="00F822DB" w:rsidRPr="00C84960">
              <w:rPr>
                <w:sz w:val="20"/>
              </w:rPr>
              <w:t>their seats by the bell.</w:t>
            </w:r>
          </w:p>
          <w:p w:rsidR="00FF6AAC" w:rsidRPr="00C84960" w:rsidRDefault="00FF6AAC" w:rsidP="00F822DB">
            <w:pPr>
              <w:rPr>
                <w:sz w:val="20"/>
              </w:rPr>
            </w:pPr>
          </w:p>
          <w:p w:rsidR="0054321C" w:rsidRPr="00C84960" w:rsidRDefault="00FF6AA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 xml:space="preserve">After an issue occurs, appoint a student to be </w:t>
            </w:r>
            <w:r w:rsidR="00F822DB" w:rsidRPr="00C84960">
              <w:rPr>
                <w:sz w:val="20"/>
              </w:rPr>
              <w:t xml:space="preserve">in charge </w:t>
            </w:r>
            <w:r w:rsidRPr="00C84960">
              <w:rPr>
                <w:sz w:val="20"/>
              </w:rPr>
              <w:t xml:space="preserve">of that problem and report to you any abuses of privileges.  </w:t>
            </w:r>
          </w:p>
        </w:tc>
      </w:tr>
      <w:tr w:rsidR="00317B71" w:rsidRPr="00317B71">
        <w:trPr>
          <w:trHeight w:val="363"/>
        </w:trPr>
        <w:tc>
          <w:tcPr>
            <w:tcW w:w="2178" w:type="dxa"/>
            <w:shd w:val="clear" w:color="auto" w:fill="auto"/>
          </w:tcPr>
          <w:p w:rsidR="00317B71" w:rsidRPr="00317B71" w:rsidRDefault="00317B71" w:rsidP="0054321C"/>
        </w:tc>
        <w:tc>
          <w:tcPr>
            <w:tcW w:w="2880" w:type="dxa"/>
            <w:shd w:val="clear" w:color="auto" w:fill="auto"/>
          </w:tcPr>
          <w:p w:rsidR="00317B71" w:rsidRPr="00317B71" w:rsidRDefault="00317B71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317B71" w:rsidRPr="00C84960" w:rsidRDefault="00317B71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317B71" w:rsidRPr="00C84960" w:rsidRDefault="00317B71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54321C" w:rsidRPr="00317B71">
        <w:trPr>
          <w:trHeight w:val="782"/>
        </w:trPr>
        <w:tc>
          <w:tcPr>
            <w:tcW w:w="2178" w:type="dxa"/>
            <w:shd w:val="clear" w:color="auto" w:fill="auto"/>
          </w:tcPr>
          <w:p w:rsidR="0054321C" w:rsidRPr="00317B71" w:rsidRDefault="0054321C" w:rsidP="0054321C">
            <w:pPr>
              <w:rPr>
                <w:b/>
                <w:i/>
              </w:rPr>
            </w:pPr>
            <w:r w:rsidRPr="00317B71">
              <w:rPr>
                <w:b/>
                <w:i/>
              </w:rPr>
              <w:t>2e.  Organizing Physical Space</w:t>
            </w:r>
          </w:p>
        </w:tc>
        <w:tc>
          <w:tcPr>
            <w:tcW w:w="2880" w:type="dxa"/>
            <w:shd w:val="clear" w:color="auto" w:fill="auto"/>
          </w:tcPr>
          <w:p w:rsidR="0054321C" w:rsidRPr="00317B71" w:rsidRDefault="0054321C" w:rsidP="0054321C">
            <w:pPr>
              <w:rPr>
                <w:sz w:val="20"/>
              </w:rPr>
            </w:pPr>
            <w:r w:rsidRPr="00317B71">
              <w:rPr>
                <w:sz w:val="20"/>
              </w:rPr>
              <w:t xml:space="preserve">Teacher’s classroom is safe, and </w:t>
            </w:r>
            <w:r w:rsidRPr="00AD46CA">
              <w:rPr>
                <w:b/>
                <w:sz w:val="20"/>
              </w:rPr>
              <w:t>students contribute to ensuring that the physical environment supports the learning of all students.</w:t>
            </w:r>
          </w:p>
        </w:tc>
        <w:tc>
          <w:tcPr>
            <w:tcW w:w="4050" w:type="dxa"/>
            <w:shd w:val="clear" w:color="auto" w:fill="auto"/>
          </w:tcPr>
          <w:p w:rsidR="0054321C" w:rsidRPr="00C84960" w:rsidRDefault="0072415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use the environment to make their learning effective such as closing door or moving desks to better work in groups.</w:t>
            </w:r>
          </w:p>
        </w:tc>
        <w:tc>
          <w:tcPr>
            <w:tcW w:w="5310" w:type="dxa"/>
            <w:shd w:val="clear" w:color="auto" w:fill="auto"/>
          </w:tcPr>
          <w:p w:rsidR="00841510" w:rsidRPr="00C84960" w:rsidRDefault="00841510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in the last seats of the rows move their desks into the aisle to see the screen better.</w:t>
            </w:r>
          </w:p>
          <w:p w:rsidR="00841510" w:rsidRPr="00C84960" w:rsidRDefault="00841510" w:rsidP="00841510">
            <w:pPr>
              <w:rPr>
                <w:sz w:val="20"/>
              </w:rPr>
            </w:pPr>
          </w:p>
          <w:p w:rsidR="0054321C" w:rsidRPr="00C84960" w:rsidRDefault="00841510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point out that the people seated near the air vents cannot hear as well as the rest of the class.</w:t>
            </w:r>
          </w:p>
        </w:tc>
      </w:tr>
      <w:tr w:rsidR="0054321C" w:rsidRPr="00317B71">
        <w:trPr>
          <w:trHeight w:val="180"/>
        </w:trPr>
        <w:tc>
          <w:tcPr>
            <w:tcW w:w="2178" w:type="dxa"/>
            <w:shd w:val="clear" w:color="auto" w:fill="auto"/>
          </w:tcPr>
          <w:p w:rsidR="0054321C" w:rsidRPr="00317B71" w:rsidRDefault="0054321C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54321C" w:rsidRPr="00317B71" w:rsidRDefault="0054321C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54321C" w:rsidRPr="00C84960" w:rsidRDefault="0054321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54321C" w:rsidRPr="00C84960" w:rsidRDefault="0054321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F36294" w:rsidRPr="00317B71">
        <w:trPr>
          <w:trHeight w:val="180"/>
        </w:trPr>
        <w:tc>
          <w:tcPr>
            <w:tcW w:w="2178" w:type="dxa"/>
            <w:shd w:val="clear" w:color="auto" w:fill="auto"/>
          </w:tcPr>
          <w:p w:rsidR="00F36294" w:rsidRPr="00317B71" w:rsidRDefault="00F36294" w:rsidP="0054321C">
            <w:pPr>
              <w:rPr>
                <w:b/>
                <w:i/>
              </w:rPr>
            </w:pPr>
            <w:r>
              <w:rPr>
                <w:b/>
                <w:i/>
              </w:rPr>
              <w:t>3b.  Using Questioning and Discussion Techniques</w:t>
            </w:r>
          </w:p>
        </w:tc>
        <w:tc>
          <w:tcPr>
            <w:tcW w:w="2880" w:type="dxa"/>
            <w:shd w:val="clear" w:color="auto" w:fill="auto"/>
          </w:tcPr>
          <w:p w:rsidR="00F36294" w:rsidRPr="00AD46CA" w:rsidRDefault="00F36294" w:rsidP="0054321C">
            <w:pPr>
              <w:rPr>
                <w:b/>
                <w:sz w:val="20"/>
              </w:rPr>
            </w:pPr>
            <w:r w:rsidRPr="00AD46CA">
              <w:rPr>
                <w:b/>
                <w:sz w:val="20"/>
              </w:rPr>
              <w:t>Students formulate many of the high-level questions and assume responsibility for the participation of all students in the discussion.</w:t>
            </w:r>
          </w:p>
        </w:tc>
        <w:tc>
          <w:tcPr>
            <w:tcW w:w="4050" w:type="dxa"/>
            <w:shd w:val="clear" w:color="auto" w:fill="auto"/>
          </w:tcPr>
          <w:p w:rsidR="00F36294" w:rsidRPr="00C84960" w:rsidRDefault="00841510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 xml:space="preserve">Students create higher-order </w:t>
            </w:r>
            <w:proofErr w:type="gramStart"/>
            <w:r w:rsidRPr="00C84960">
              <w:rPr>
                <w:sz w:val="20"/>
              </w:rPr>
              <w:t>questions,</w:t>
            </w:r>
            <w:proofErr w:type="gramEnd"/>
            <w:r w:rsidRPr="00C84960">
              <w:rPr>
                <w:sz w:val="20"/>
              </w:rPr>
              <w:t xml:space="preserve"> respond to discussion not by repeating a comment but by extending the thought process.</w:t>
            </w:r>
          </w:p>
        </w:tc>
        <w:tc>
          <w:tcPr>
            <w:tcW w:w="5310" w:type="dxa"/>
            <w:shd w:val="clear" w:color="auto" w:fill="auto"/>
          </w:tcPr>
          <w:p w:rsidR="00F36294" w:rsidRPr="00C84960" w:rsidRDefault="00841510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participate in Socratic Seminars, generating original questions, responding to each other by name, and directing the discussion independent of the teacher.</w:t>
            </w:r>
          </w:p>
        </w:tc>
      </w:tr>
      <w:tr w:rsidR="00F36294" w:rsidRPr="00317B71">
        <w:trPr>
          <w:trHeight w:val="180"/>
        </w:trPr>
        <w:tc>
          <w:tcPr>
            <w:tcW w:w="2178" w:type="dxa"/>
            <w:shd w:val="clear" w:color="auto" w:fill="auto"/>
          </w:tcPr>
          <w:p w:rsidR="00F36294" w:rsidRPr="00317B71" w:rsidRDefault="00F36294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F36294" w:rsidRPr="00317B71" w:rsidRDefault="00F36294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F36294" w:rsidRPr="00C84960" w:rsidRDefault="00F36294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F36294" w:rsidRPr="00C84960" w:rsidRDefault="00F36294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54321C" w:rsidRPr="00317B71">
        <w:trPr>
          <w:trHeight w:val="190"/>
        </w:trPr>
        <w:tc>
          <w:tcPr>
            <w:tcW w:w="2178" w:type="dxa"/>
            <w:shd w:val="clear" w:color="auto" w:fill="auto"/>
          </w:tcPr>
          <w:p w:rsidR="0054321C" w:rsidRPr="00317B71" w:rsidRDefault="00F36294" w:rsidP="0054321C">
            <w:pPr>
              <w:rPr>
                <w:b/>
                <w:i/>
              </w:rPr>
            </w:pPr>
            <w:r>
              <w:rPr>
                <w:b/>
                <w:i/>
              </w:rPr>
              <w:t>3c.  Engaging Students in Learning</w:t>
            </w:r>
          </w:p>
        </w:tc>
        <w:tc>
          <w:tcPr>
            <w:tcW w:w="2880" w:type="dxa"/>
            <w:shd w:val="clear" w:color="auto" w:fill="auto"/>
          </w:tcPr>
          <w:p w:rsidR="0054321C" w:rsidRPr="00F36294" w:rsidRDefault="00F36294" w:rsidP="0054321C">
            <w:pPr>
              <w:rPr>
                <w:sz w:val="20"/>
              </w:rPr>
            </w:pPr>
            <w:r w:rsidRPr="00F36294">
              <w:rPr>
                <w:sz w:val="20"/>
              </w:rPr>
              <w:t xml:space="preserve">Students are highly engaged throughout the lesson and </w:t>
            </w:r>
            <w:r w:rsidRPr="00050CEF">
              <w:rPr>
                <w:b/>
                <w:sz w:val="20"/>
              </w:rPr>
              <w:t>make material contributions to the representation of content, the activities, and the materials.</w:t>
            </w:r>
            <w:r w:rsidRPr="00F36294">
              <w:rPr>
                <w:sz w:val="20"/>
              </w:rPr>
              <w:t xml:space="preserve">  The structure and pacing of the lesson allow for student reflection and closure.</w:t>
            </w:r>
          </w:p>
        </w:tc>
        <w:tc>
          <w:tcPr>
            <w:tcW w:w="4050" w:type="dxa"/>
            <w:shd w:val="clear" w:color="auto" w:fill="auto"/>
          </w:tcPr>
          <w:p w:rsidR="0054321C" w:rsidRPr="00C84960" w:rsidRDefault="00841510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initiate changes to a task to make it more meaningful or relevant</w:t>
            </w:r>
            <w:r w:rsidR="00EA30B1" w:rsidRPr="00C84960">
              <w:rPr>
                <w:sz w:val="20"/>
              </w:rPr>
              <w:t>.  Students suggest modifications to the grouping.  Students have extensive choice in how they complete tasks, and suggest modifications to the materials being used.</w:t>
            </w:r>
          </w:p>
        </w:tc>
        <w:tc>
          <w:tcPr>
            <w:tcW w:w="5310" w:type="dxa"/>
            <w:shd w:val="clear" w:color="auto" w:fill="auto"/>
          </w:tcPr>
          <w:p w:rsidR="003D14D3" w:rsidRPr="00C84960" w:rsidRDefault="003D14D3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locate and turn in poems by particular poets to be studied in a poetry unit.</w:t>
            </w:r>
          </w:p>
          <w:p w:rsidR="003D14D3" w:rsidRPr="00C84960" w:rsidRDefault="003D14D3" w:rsidP="003D14D3">
            <w:pPr>
              <w:rPr>
                <w:sz w:val="20"/>
              </w:rPr>
            </w:pPr>
          </w:p>
          <w:p w:rsidR="003D14D3" w:rsidRPr="00C84960" w:rsidRDefault="003D14D3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 xml:space="preserve">Students revise their thesis for their research project based on the research they have found independently. </w:t>
            </w:r>
          </w:p>
          <w:p w:rsidR="003D14D3" w:rsidRPr="00C84960" w:rsidRDefault="003D14D3" w:rsidP="003D14D3">
            <w:pPr>
              <w:rPr>
                <w:sz w:val="20"/>
              </w:rPr>
            </w:pPr>
          </w:p>
          <w:p w:rsidR="0054321C" w:rsidRPr="00C84960" w:rsidRDefault="003D14D3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suggest adding materials such as a map or table of grammar rules to a packet.</w:t>
            </w:r>
          </w:p>
        </w:tc>
      </w:tr>
      <w:tr w:rsidR="00F36294" w:rsidRPr="00317B71">
        <w:trPr>
          <w:trHeight w:val="190"/>
        </w:trPr>
        <w:tc>
          <w:tcPr>
            <w:tcW w:w="2178" w:type="dxa"/>
            <w:shd w:val="clear" w:color="auto" w:fill="auto"/>
          </w:tcPr>
          <w:p w:rsidR="00F36294" w:rsidRDefault="00F36294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F36294" w:rsidRPr="00F36294" w:rsidRDefault="00F36294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F36294" w:rsidRPr="00C84960" w:rsidRDefault="00F36294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F36294" w:rsidRPr="00C84960" w:rsidRDefault="00F36294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F36294" w:rsidRPr="00317B71">
        <w:trPr>
          <w:trHeight w:val="190"/>
        </w:trPr>
        <w:tc>
          <w:tcPr>
            <w:tcW w:w="2178" w:type="dxa"/>
            <w:shd w:val="clear" w:color="auto" w:fill="auto"/>
          </w:tcPr>
          <w:p w:rsidR="00F36294" w:rsidRDefault="00F36294" w:rsidP="0054321C">
            <w:pPr>
              <w:rPr>
                <w:b/>
                <w:i/>
              </w:rPr>
            </w:pPr>
            <w:r>
              <w:rPr>
                <w:b/>
                <w:i/>
              </w:rPr>
              <w:t>3d.  Providing Feedback to Students</w:t>
            </w:r>
          </w:p>
        </w:tc>
        <w:tc>
          <w:tcPr>
            <w:tcW w:w="2880" w:type="dxa"/>
            <w:shd w:val="clear" w:color="auto" w:fill="auto"/>
          </w:tcPr>
          <w:p w:rsidR="00F36294" w:rsidRPr="00F36294" w:rsidRDefault="00F36294" w:rsidP="0054321C">
            <w:pPr>
              <w:rPr>
                <w:sz w:val="20"/>
              </w:rPr>
            </w:pPr>
            <w:r>
              <w:rPr>
                <w:sz w:val="20"/>
              </w:rPr>
              <w:t xml:space="preserve">Teacher’s feedback to students is timely and of consistently high quality, and </w:t>
            </w:r>
            <w:r w:rsidRPr="00050CEF">
              <w:rPr>
                <w:b/>
                <w:sz w:val="20"/>
              </w:rPr>
              <w:t>students make use of the feedback</w:t>
            </w:r>
            <w:r>
              <w:rPr>
                <w:sz w:val="20"/>
              </w:rPr>
              <w:t xml:space="preserve"> in their learning.</w:t>
            </w:r>
          </w:p>
        </w:tc>
        <w:tc>
          <w:tcPr>
            <w:tcW w:w="4050" w:type="dxa"/>
            <w:shd w:val="clear" w:color="auto" w:fill="auto"/>
          </w:tcPr>
          <w:p w:rsidR="00F36294" w:rsidRPr="00C84960" w:rsidRDefault="00FE72D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 xml:space="preserve">Students are involved in the assessment process, both contributing to the assessment and evaluating their performance. </w:t>
            </w:r>
          </w:p>
        </w:tc>
        <w:tc>
          <w:tcPr>
            <w:tcW w:w="5310" w:type="dxa"/>
            <w:shd w:val="clear" w:color="auto" w:fill="auto"/>
          </w:tcPr>
          <w:p w:rsidR="00FE72DC" w:rsidRPr="00C84960" w:rsidRDefault="00FE72D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use rubrics they helped to develop in part.</w:t>
            </w:r>
          </w:p>
          <w:p w:rsidR="00FE72DC" w:rsidRPr="00C84960" w:rsidRDefault="00FE72DC" w:rsidP="00FE72DC">
            <w:pPr>
              <w:rPr>
                <w:sz w:val="20"/>
              </w:rPr>
            </w:pPr>
          </w:p>
          <w:p w:rsidR="00645692" w:rsidRPr="00C84960" w:rsidRDefault="00FE72DC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edit other students’ papers, offering constructive feedback.</w:t>
            </w:r>
          </w:p>
          <w:p w:rsidR="00645692" w:rsidRPr="00C84960" w:rsidRDefault="00645692" w:rsidP="00645692">
            <w:pPr>
              <w:rPr>
                <w:sz w:val="20"/>
              </w:rPr>
            </w:pPr>
          </w:p>
          <w:p w:rsidR="00F36294" w:rsidRPr="00C84960" w:rsidRDefault="00080AB1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 xml:space="preserve">Students evaluate student work as a class against a rubric or criteria, coming to a consensus about quality. The evaluation is followed by an opportunity to revise </w:t>
            </w:r>
            <w:proofErr w:type="gramStart"/>
            <w:r w:rsidRPr="00C84960">
              <w:rPr>
                <w:sz w:val="20"/>
              </w:rPr>
              <w:t>their own</w:t>
            </w:r>
            <w:proofErr w:type="gramEnd"/>
            <w:r w:rsidRPr="00C84960">
              <w:rPr>
                <w:sz w:val="20"/>
              </w:rPr>
              <w:t xml:space="preserve"> work.</w:t>
            </w:r>
          </w:p>
        </w:tc>
      </w:tr>
      <w:tr w:rsidR="00F36294" w:rsidRPr="00317B71">
        <w:trPr>
          <w:trHeight w:val="190"/>
        </w:trPr>
        <w:tc>
          <w:tcPr>
            <w:tcW w:w="2178" w:type="dxa"/>
            <w:shd w:val="clear" w:color="auto" w:fill="auto"/>
          </w:tcPr>
          <w:p w:rsidR="00F36294" w:rsidRDefault="00F36294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F36294" w:rsidRPr="00F36294" w:rsidRDefault="00F36294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F36294" w:rsidRPr="00C84960" w:rsidRDefault="00F36294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F36294" w:rsidRPr="00C84960" w:rsidRDefault="00F36294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F36294" w:rsidRPr="00317B71">
        <w:trPr>
          <w:trHeight w:val="190"/>
        </w:trPr>
        <w:tc>
          <w:tcPr>
            <w:tcW w:w="2178" w:type="dxa"/>
            <w:shd w:val="clear" w:color="auto" w:fill="auto"/>
          </w:tcPr>
          <w:p w:rsidR="00F36294" w:rsidRDefault="00F36294" w:rsidP="0054321C">
            <w:pPr>
              <w:rPr>
                <w:b/>
                <w:i/>
              </w:rPr>
            </w:pPr>
            <w:r>
              <w:rPr>
                <w:b/>
                <w:i/>
              </w:rPr>
              <w:t>4b.  Maintaining Accurate Records</w:t>
            </w:r>
          </w:p>
        </w:tc>
        <w:tc>
          <w:tcPr>
            <w:tcW w:w="2880" w:type="dxa"/>
            <w:shd w:val="clear" w:color="auto" w:fill="auto"/>
          </w:tcPr>
          <w:p w:rsidR="00F36294" w:rsidRPr="00F36294" w:rsidRDefault="00F36294" w:rsidP="0054321C">
            <w:pPr>
              <w:rPr>
                <w:sz w:val="20"/>
              </w:rPr>
            </w:pPr>
            <w:r>
              <w:rPr>
                <w:sz w:val="20"/>
              </w:rPr>
              <w:t xml:space="preserve">Teacher’s system for maintaining accurate records is efficient and effective, and </w:t>
            </w:r>
            <w:r w:rsidRPr="00050CEF">
              <w:rPr>
                <w:b/>
                <w:sz w:val="20"/>
              </w:rPr>
              <w:t>students contribute to its maintenance.</w:t>
            </w:r>
          </w:p>
        </w:tc>
        <w:tc>
          <w:tcPr>
            <w:tcW w:w="4050" w:type="dxa"/>
            <w:shd w:val="clear" w:color="auto" w:fill="auto"/>
          </w:tcPr>
          <w:p w:rsidR="00F36294" w:rsidRPr="00C84960" w:rsidRDefault="00984E2F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Teacher’s system for keeping track of student completion of assignments, grades, and non-instructional records is effective. Students help maintain these records.</w:t>
            </w:r>
          </w:p>
        </w:tc>
        <w:tc>
          <w:tcPr>
            <w:tcW w:w="5310" w:type="dxa"/>
            <w:shd w:val="clear" w:color="auto" w:fill="auto"/>
          </w:tcPr>
          <w:p w:rsidR="00984E2F" w:rsidRPr="00C84960" w:rsidRDefault="00984E2F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maintain a “make up test list” on the board, with names of students who are missing tests.</w:t>
            </w:r>
          </w:p>
          <w:p w:rsidR="00984E2F" w:rsidRPr="00C84960" w:rsidRDefault="00984E2F" w:rsidP="00984E2F">
            <w:pPr>
              <w:rPr>
                <w:sz w:val="20"/>
              </w:rPr>
            </w:pPr>
          </w:p>
          <w:p w:rsidR="00984E2F" w:rsidRPr="00C84960" w:rsidRDefault="00984E2F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keep track of their EPAS growth, recording it on a tracking sheet.</w:t>
            </w:r>
          </w:p>
          <w:p w:rsidR="00984E2F" w:rsidRPr="00C84960" w:rsidRDefault="00984E2F" w:rsidP="00984E2F">
            <w:pPr>
              <w:rPr>
                <w:sz w:val="20"/>
              </w:rPr>
            </w:pPr>
          </w:p>
          <w:p w:rsidR="00F36294" w:rsidRPr="00C84960" w:rsidRDefault="00984E2F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maintain a class sign out list or classroom library check out.</w:t>
            </w:r>
          </w:p>
        </w:tc>
      </w:tr>
      <w:tr w:rsidR="00F36294" w:rsidRPr="00317B71">
        <w:trPr>
          <w:trHeight w:val="190"/>
        </w:trPr>
        <w:tc>
          <w:tcPr>
            <w:tcW w:w="2178" w:type="dxa"/>
            <w:shd w:val="clear" w:color="auto" w:fill="auto"/>
          </w:tcPr>
          <w:p w:rsidR="00F36294" w:rsidRDefault="00F36294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F36294" w:rsidRPr="00F36294" w:rsidRDefault="00F36294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F36294" w:rsidRPr="00C84960" w:rsidRDefault="00F36294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F36294" w:rsidRPr="00C84960" w:rsidRDefault="00F36294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F36294" w:rsidRPr="00317B71">
        <w:trPr>
          <w:trHeight w:val="190"/>
        </w:trPr>
        <w:tc>
          <w:tcPr>
            <w:tcW w:w="2178" w:type="dxa"/>
            <w:shd w:val="clear" w:color="auto" w:fill="auto"/>
          </w:tcPr>
          <w:p w:rsidR="00F36294" w:rsidRDefault="00F36294" w:rsidP="0054321C">
            <w:pPr>
              <w:rPr>
                <w:b/>
                <w:i/>
              </w:rPr>
            </w:pPr>
            <w:r>
              <w:rPr>
                <w:b/>
                <w:i/>
              </w:rPr>
              <w:t>4c.  Communicating with Families</w:t>
            </w:r>
          </w:p>
        </w:tc>
        <w:tc>
          <w:tcPr>
            <w:tcW w:w="2880" w:type="dxa"/>
            <w:shd w:val="clear" w:color="auto" w:fill="auto"/>
          </w:tcPr>
          <w:p w:rsidR="00F36294" w:rsidRPr="00F36294" w:rsidRDefault="0057294C" w:rsidP="0054321C">
            <w:pPr>
              <w:rPr>
                <w:sz w:val="20"/>
              </w:rPr>
            </w:pPr>
            <w:r>
              <w:rPr>
                <w:sz w:val="20"/>
              </w:rPr>
              <w:t xml:space="preserve">Teacher communicates frequently and sensitively with families and successfully engages them in the instructional </w:t>
            </w:r>
            <w:proofErr w:type="gramStart"/>
            <w:r>
              <w:rPr>
                <w:sz w:val="20"/>
              </w:rPr>
              <w:t>program,</w:t>
            </w:r>
            <w:proofErr w:type="gramEnd"/>
            <w:r>
              <w:rPr>
                <w:sz w:val="20"/>
              </w:rPr>
              <w:t xml:space="preserve"> </w:t>
            </w:r>
            <w:r w:rsidRPr="00050CEF">
              <w:rPr>
                <w:b/>
                <w:sz w:val="20"/>
              </w:rPr>
              <w:t>students participate in communicating</w:t>
            </w:r>
            <w:r>
              <w:rPr>
                <w:sz w:val="20"/>
              </w:rPr>
              <w:t xml:space="preserve"> with families.</w:t>
            </w:r>
          </w:p>
        </w:tc>
        <w:tc>
          <w:tcPr>
            <w:tcW w:w="4050" w:type="dxa"/>
            <w:shd w:val="clear" w:color="auto" w:fill="auto"/>
          </w:tcPr>
          <w:p w:rsidR="00F36294" w:rsidRPr="00C84960" w:rsidRDefault="00C84960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>Students develop materials for contacting families.  Students maintain records about the individual learning and share these with family. Students contribute to projects designed to engage families in the learning process.</w:t>
            </w:r>
          </w:p>
        </w:tc>
        <w:tc>
          <w:tcPr>
            <w:tcW w:w="5310" w:type="dxa"/>
            <w:shd w:val="clear" w:color="auto" w:fill="auto"/>
          </w:tcPr>
          <w:p w:rsidR="00C84960" w:rsidRPr="00C84960" w:rsidRDefault="00C84960" w:rsidP="00C8496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C84960">
              <w:rPr>
                <w:sz w:val="20"/>
              </w:rPr>
              <w:t xml:space="preserve">Students create materials for parent teacher conferences, fill out evaluations of their EPAS growth, </w:t>
            </w:r>
            <w:proofErr w:type="gramStart"/>
            <w:r w:rsidRPr="00C84960">
              <w:rPr>
                <w:sz w:val="20"/>
              </w:rPr>
              <w:t>attend</w:t>
            </w:r>
            <w:proofErr w:type="gramEnd"/>
            <w:r w:rsidRPr="00C84960">
              <w:rPr>
                <w:sz w:val="20"/>
              </w:rPr>
              <w:t xml:space="preserve"> conferences.</w:t>
            </w:r>
          </w:p>
          <w:p w:rsidR="00C84960" w:rsidRPr="00C84960" w:rsidRDefault="00C84960" w:rsidP="00C84960">
            <w:pPr>
              <w:rPr>
                <w:sz w:val="20"/>
              </w:rPr>
            </w:pPr>
          </w:p>
          <w:p w:rsidR="00F36294" w:rsidRPr="00C84960" w:rsidRDefault="00F36294" w:rsidP="00C84960">
            <w:pPr>
              <w:rPr>
                <w:sz w:val="20"/>
              </w:rPr>
            </w:pPr>
          </w:p>
        </w:tc>
      </w:tr>
      <w:tr w:rsidR="00F36294" w:rsidRPr="00317B71">
        <w:trPr>
          <w:trHeight w:val="190"/>
        </w:trPr>
        <w:tc>
          <w:tcPr>
            <w:tcW w:w="2178" w:type="dxa"/>
            <w:shd w:val="clear" w:color="auto" w:fill="auto"/>
          </w:tcPr>
          <w:p w:rsidR="00F36294" w:rsidRDefault="00F36294" w:rsidP="0054321C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F36294" w:rsidRPr="00F36294" w:rsidRDefault="00F36294" w:rsidP="0054321C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F36294" w:rsidRPr="00E30D1A" w:rsidRDefault="00F36294" w:rsidP="0054321C">
            <w:p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F36294" w:rsidRPr="00EA30B1" w:rsidRDefault="00F36294" w:rsidP="0054321C">
            <w:pPr>
              <w:rPr>
                <w:sz w:val="20"/>
              </w:rPr>
            </w:pPr>
          </w:p>
        </w:tc>
      </w:tr>
    </w:tbl>
    <w:p w:rsidR="003E0383" w:rsidRDefault="003E0383"/>
    <w:p w:rsidR="003E0383" w:rsidRPr="0054321C" w:rsidRDefault="003E0383"/>
    <w:sectPr w:rsidR="003E0383" w:rsidRPr="0054321C" w:rsidSect="00A53CD3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D27"/>
    <w:multiLevelType w:val="hybridMultilevel"/>
    <w:tmpl w:val="5440B462"/>
    <w:lvl w:ilvl="0" w:tplc="04090001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13818"/>
    <w:multiLevelType w:val="hybridMultilevel"/>
    <w:tmpl w:val="0F3254A0"/>
    <w:lvl w:ilvl="0" w:tplc="04090001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10D6"/>
    <w:multiLevelType w:val="hybridMultilevel"/>
    <w:tmpl w:val="4EBA8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20459"/>
    <w:multiLevelType w:val="hybridMultilevel"/>
    <w:tmpl w:val="0F32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460C1"/>
    <w:multiLevelType w:val="hybridMultilevel"/>
    <w:tmpl w:val="E8CED668"/>
    <w:lvl w:ilvl="0" w:tplc="04090001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DF7C8D"/>
    <w:multiLevelType w:val="hybridMultilevel"/>
    <w:tmpl w:val="DB6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93B36"/>
    <w:multiLevelType w:val="hybridMultilevel"/>
    <w:tmpl w:val="8C90D408"/>
    <w:lvl w:ilvl="0" w:tplc="04090001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B275F"/>
    <w:multiLevelType w:val="hybridMultilevel"/>
    <w:tmpl w:val="5CEAF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54E8C"/>
    <w:multiLevelType w:val="hybridMultilevel"/>
    <w:tmpl w:val="315E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97D0D"/>
    <w:multiLevelType w:val="hybridMultilevel"/>
    <w:tmpl w:val="C62E5954"/>
    <w:lvl w:ilvl="0" w:tplc="04090001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4B4182"/>
    <w:multiLevelType w:val="hybridMultilevel"/>
    <w:tmpl w:val="74DA5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F5F1C"/>
    <w:multiLevelType w:val="hybridMultilevel"/>
    <w:tmpl w:val="1F464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B268B3"/>
    <w:multiLevelType w:val="hybridMultilevel"/>
    <w:tmpl w:val="4EBA88C6"/>
    <w:lvl w:ilvl="0" w:tplc="0409000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56310"/>
    <w:multiLevelType w:val="hybridMultilevel"/>
    <w:tmpl w:val="5B22BE7C"/>
    <w:lvl w:ilvl="0" w:tplc="04090001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B84C73"/>
    <w:multiLevelType w:val="hybridMultilevel"/>
    <w:tmpl w:val="C62E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D4A05"/>
    <w:multiLevelType w:val="hybridMultilevel"/>
    <w:tmpl w:val="4EBA88C6"/>
    <w:lvl w:ilvl="0" w:tplc="04090001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DF0D75"/>
    <w:multiLevelType w:val="hybridMultilevel"/>
    <w:tmpl w:val="8EDC1A64"/>
    <w:lvl w:ilvl="0" w:tplc="04090001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16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0383"/>
    <w:rsid w:val="00050CEF"/>
    <w:rsid w:val="00080AB1"/>
    <w:rsid w:val="000C20B0"/>
    <w:rsid w:val="000D4E69"/>
    <w:rsid w:val="000E3DC9"/>
    <w:rsid w:val="003033C1"/>
    <w:rsid w:val="00317B71"/>
    <w:rsid w:val="00363644"/>
    <w:rsid w:val="003B48B7"/>
    <w:rsid w:val="003D14D3"/>
    <w:rsid w:val="003E0383"/>
    <w:rsid w:val="00425623"/>
    <w:rsid w:val="00462800"/>
    <w:rsid w:val="004B4A7B"/>
    <w:rsid w:val="0051154A"/>
    <w:rsid w:val="0054321C"/>
    <w:rsid w:val="00562866"/>
    <w:rsid w:val="0057294C"/>
    <w:rsid w:val="005E2B84"/>
    <w:rsid w:val="00645692"/>
    <w:rsid w:val="006F0E7F"/>
    <w:rsid w:val="0072415C"/>
    <w:rsid w:val="00841510"/>
    <w:rsid w:val="008524F4"/>
    <w:rsid w:val="0086236C"/>
    <w:rsid w:val="00873705"/>
    <w:rsid w:val="008778D6"/>
    <w:rsid w:val="008E622B"/>
    <w:rsid w:val="00984E2F"/>
    <w:rsid w:val="00A53CD3"/>
    <w:rsid w:val="00AA1643"/>
    <w:rsid w:val="00AD46CA"/>
    <w:rsid w:val="00C42786"/>
    <w:rsid w:val="00C84960"/>
    <w:rsid w:val="00DE5631"/>
    <w:rsid w:val="00DF543B"/>
    <w:rsid w:val="00E02980"/>
    <w:rsid w:val="00E30D1A"/>
    <w:rsid w:val="00EA30B1"/>
    <w:rsid w:val="00EE7643"/>
    <w:rsid w:val="00F36294"/>
    <w:rsid w:val="00F822DB"/>
    <w:rsid w:val="00FE72DC"/>
    <w:rsid w:val="00FF6AAC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5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0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1223</Words>
  <Characters>6973</Characters>
  <Application>Microsoft Macintosh Word</Application>
  <DocSecurity>0</DocSecurity>
  <Lines>58</Lines>
  <Paragraphs>13</Paragraphs>
  <ScaleCrop>false</ScaleCrop>
  <Company>Township District 214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 Grove High School</dc:creator>
  <cp:keywords/>
  <cp:lastModifiedBy>EGHS</cp:lastModifiedBy>
  <cp:revision>28</cp:revision>
  <dcterms:created xsi:type="dcterms:W3CDTF">2012-10-12T14:37:00Z</dcterms:created>
  <dcterms:modified xsi:type="dcterms:W3CDTF">2013-10-22T15:53:00Z</dcterms:modified>
</cp:coreProperties>
</file>